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84C" w:rsidRPr="0045684C" w:rsidRDefault="0045684C" w:rsidP="0045684C">
      <w:pPr>
        <w:spacing w:before="100" w:beforeAutospacing="1" w:after="100" w:afterAutospacing="1" w:line="240" w:lineRule="auto"/>
        <w:jc w:val="center"/>
        <w:rPr>
          <w:rFonts w:asciiTheme="majorHAnsi" w:eastAsia="Times New Roman" w:hAnsiTheme="majorHAnsi" w:cstheme="majorHAnsi"/>
          <w:sz w:val="24"/>
          <w:szCs w:val="24"/>
          <w:lang w:eastAsia="pt-BR"/>
        </w:rPr>
      </w:pPr>
      <w:r w:rsidRPr="0045684C">
        <w:rPr>
          <w:rFonts w:asciiTheme="majorHAnsi" w:eastAsia="Times New Roman" w:hAnsiTheme="majorHAnsi" w:cstheme="majorHAnsi"/>
          <w:b/>
          <w:bCs/>
          <w:sz w:val="24"/>
          <w:szCs w:val="24"/>
          <w:lang w:eastAsia="pt-BR"/>
        </w:rPr>
        <w:t>ANEXO 05</w:t>
      </w:r>
      <w:r w:rsidRPr="0045684C">
        <w:rPr>
          <w:rFonts w:asciiTheme="majorHAnsi" w:eastAsia="Times New Roman" w:hAnsiTheme="majorHAnsi" w:cstheme="majorHAnsi"/>
          <w:sz w:val="24"/>
          <w:szCs w:val="24"/>
          <w:lang w:eastAsia="pt-BR"/>
        </w:rPr>
        <w:br/>
      </w:r>
      <w:r w:rsidRPr="0045684C">
        <w:rPr>
          <w:rFonts w:asciiTheme="majorHAnsi" w:eastAsia="Times New Roman" w:hAnsiTheme="majorHAnsi" w:cstheme="majorHAnsi"/>
          <w:b/>
          <w:bCs/>
          <w:sz w:val="24"/>
          <w:szCs w:val="24"/>
          <w:lang w:eastAsia="pt-BR"/>
        </w:rPr>
        <w:t>MINUTA DA ATA DE REGISTRO DE PREÇOS</w:t>
      </w:r>
    </w:p>
    <w:p w:rsidR="0045684C" w:rsidRPr="0045684C" w:rsidRDefault="0045684C" w:rsidP="001F39FD">
      <w:pPr>
        <w:spacing w:before="100" w:beforeAutospacing="1" w:after="100" w:afterAutospacing="1" w:line="360" w:lineRule="auto"/>
        <w:jc w:val="both"/>
        <w:rPr>
          <w:rFonts w:asciiTheme="majorHAnsi" w:eastAsia="Times New Roman" w:hAnsiTheme="majorHAnsi" w:cstheme="majorHAnsi"/>
          <w:sz w:val="24"/>
          <w:szCs w:val="24"/>
          <w:lang w:eastAsia="pt-BR"/>
        </w:rPr>
      </w:pPr>
      <w:r w:rsidRPr="001F39FD">
        <w:rPr>
          <w:rFonts w:asciiTheme="majorHAnsi" w:eastAsia="Times New Roman" w:hAnsiTheme="majorHAnsi" w:cstheme="majorHAnsi"/>
          <w:b/>
          <w:bCs/>
          <w:sz w:val="24"/>
          <w:szCs w:val="24"/>
          <w:lang w:eastAsia="pt-BR"/>
        </w:rPr>
        <w:t xml:space="preserve">MUNICÍPIO DE </w:t>
      </w:r>
      <w:r w:rsidR="00600D6F" w:rsidRPr="001F39FD">
        <w:rPr>
          <w:rFonts w:asciiTheme="majorHAnsi" w:eastAsia="Times New Roman" w:hAnsiTheme="majorHAnsi" w:cstheme="majorHAnsi"/>
          <w:b/>
          <w:bCs/>
          <w:sz w:val="24"/>
          <w:szCs w:val="24"/>
          <w:lang w:eastAsia="pt-BR"/>
        </w:rPr>
        <w:t>PAULO FRONTIN</w:t>
      </w:r>
      <w:r w:rsidRPr="001F39FD">
        <w:rPr>
          <w:rFonts w:asciiTheme="majorHAnsi" w:eastAsia="Times New Roman" w:hAnsiTheme="majorHAnsi" w:cstheme="majorHAnsi"/>
          <w:b/>
          <w:bCs/>
          <w:sz w:val="24"/>
          <w:szCs w:val="24"/>
          <w:lang w:eastAsia="pt-BR"/>
        </w:rPr>
        <w:t xml:space="preserve"> - PR</w:t>
      </w:r>
      <w:r w:rsidRPr="0045684C">
        <w:rPr>
          <w:rFonts w:asciiTheme="majorHAnsi" w:eastAsia="Times New Roman" w:hAnsiTheme="majorHAnsi" w:cstheme="majorHAnsi"/>
          <w:sz w:val="24"/>
          <w:szCs w:val="24"/>
          <w:lang w:eastAsia="pt-BR"/>
        </w:rPr>
        <w:t xml:space="preserve">, Pessoa Jurídica de Direito Público Interno, sita à </w:t>
      </w:r>
      <w:r w:rsidR="001F39FD" w:rsidRPr="001F39FD">
        <w:rPr>
          <w:rFonts w:asciiTheme="majorHAnsi" w:eastAsia="Times New Roman" w:hAnsiTheme="majorHAnsi" w:cstheme="majorHAnsi"/>
          <w:sz w:val="24"/>
          <w:szCs w:val="24"/>
          <w:lang w:eastAsia="pt-BR"/>
        </w:rPr>
        <w:t>R. Rui Barbosa, 204 - Centro, Paulo Frontin - PR, 84635-000</w:t>
      </w:r>
      <w:r w:rsidRPr="0045684C">
        <w:rPr>
          <w:rFonts w:asciiTheme="majorHAnsi" w:eastAsia="Times New Roman" w:hAnsiTheme="majorHAnsi" w:cstheme="majorHAnsi"/>
          <w:sz w:val="24"/>
          <w:szCs w:val="24"/>
          <w:lang w:eastAsia="pt-BR"/>
        </w:rPr>
        <w:t xml:space="preserve">, inscrita no CNPJ/MF sob o n.º </w:t>
      </w:r>
      <w:r w:rsidR="001F39FD" w:rsidRPr="001F39FD">
        <w:rPr>
          <w:rFonts w:asciiTheme="majorHAnsi" w:eastAsia="Times New Roman" w:hAnsiTheme="majorHAnsi" w:cstheme="majorHAnsi"/>
          <w:sz w:val="24"/>
          <w:szCs w:val="24"/>
          <w:lang w:eastAsia="pt-BR"/>
        </w:rPr>
        <w:t>77.007.474.0001-90</w:t>
      </w:r>
      <w:r w:rsidRPr="0045684C">
        <w:rPr>
          <w:rFonts w:asciiTheme="majorHAnsi" w:eastAsia="Times New Roman" w:hAnsiTheme="majorHAnsi" w:cstheme="majorHAnsi"/>
          <w:sz w:val="24"/>
          <w:szCs w:val="24"/>
          <w:lang w:eastAsia="pt-BR"/>
        </w:rPr>
        <w:t xml:space="preserve">, neste ato representado pelo Prefeito, </w:t>
      </w:r>
      <w:r w:rsidR="001F39FD" w:rsidRPr="001F39FD">
        <w:rPr>
          <w:rFonts w:asciiTheme="majorHAnsi" w:eastAsia="Times New Roman" w:hAnsiTheme="majorHAnsi" w:cstheme="majorHAnsi"/>
          <w:b/>
          <w:bCs/>
          <w:sz w:val="24"/>
          <w:szCs w:val="24"/>
          <w:lang w:eastAsia="pt-BR"/>
        </w:rPr>
        <w:t>IRENEU ZACHARIAS</w:t>
      </w:r>
      <w:r w:rsidRPr="0045684C">
        <w:rPr>
          <w:rFonts w:asciiTheme="majorHAnsi" w:eastAsia="Times New Roman" w:hAnsiTheme="majorHAnsi" w:cstheme="majorHAnsi"/>
          <w:sz w:val="24"/>
          <w:szCs w:val="24"/>
          <w:lang w:eastAsia="pt-BR"/>
        </w:rPr>
        <w:t xml:space="preserve">, portador da cédula de identidade </w:t>
      </w:r>
      <w:r w:rsidRPr="0045684C">
        <w:rPr>
          <w:rFonts w:asciiTheme="majorHAnsi" w:eastAsia="Times New Roman" w:hAnsiTheme="majorHAnsi" w:cstheme="majorHAnsi"/>
          <w:sz w:val="24"/>
          <w:szCs w:val="24"/>
          <w:highlight w:val="yellow"/>
          <w:lang w:eastAsia="pt-BR"/>
        </w:rPr>
        <w:t xml:space="preserve">n.º </w:t>
      </w:r>
      <w:r w:rsidR="001F39FD" w:rsidRPr="001F39FD">
        <w:rPr>
          <w:rFonts w:asciiTheme="majorHAnsi" w:eastAsia="Times New Roman" w:hAnsiTheme="majorHAnsi" w:cstheme="majorHAnsi"/>
          <w:sz w:val="24"/>
          <w:szCs w:val="24"/>
          <w:highlight w:val="yellow"/>
          <w:lang w:eastAsia="pt-BR"/>
        </w:rPr>
        <w:t>xxxxxxxx</w:t>
      </w:r>
      <w:r w:rsidRPr="0045684C">
        <w:rPr>
          <w:rFonts w:asciiTheme="majorHAnsi" w:eastAsia="Times New Roman" w:hAnsiTheme="majorHAnsi" w:cstheme="majorHAnsi"/>
          <w:sz w:val="24"/>
          <w:szCs w:val="24"/>
          <w:lang w:eastAsia="pt-BR"/>
        </w:rPr>
        <w:t xml:space="preserve">, inscrito no CPF/MF sob n.º </w:t>
      </w:r>
      <w:r w:rsidR="001F39FD" w:rsidRPr="001F39FD">
        <w:rPr>
          <w:rFonts w:asciiTheme="majorHAnsi" w:eastAsia="Times New Roman" w:hAnsiTheme="majorHAnsi" w:cstheme="majorHAnsi"/>
          <w:sz w:val="24"/>
          <w:szCs w:val="24"/>
          <w:highlight w:val="yellow"/>
          <w:lang w:eastAsia="pt-BR"/>
        </w:rPr>
        <w:t>xxxxxxxxxxxxx</w:t>
      </w:r>
      <w:r w:rsidRPr="0045684C">
        <w:rPr>
          <w:rFonts w:asciiTheme="majorHAnsi" w:eastAsia="Times New Roman" w:hAnsiTheme="majorHAnsi" w:cstheme="majorHAnsi"/>
          <w:sz w:val="24"/>
          <w:szCs w:val="24"/>
          <w:lang w:eastAsia="pt-BR"/>
        </w:rPr>
        <w:t xml:space="preserve">, considerando o julgamento da licitação na modalidade de </w:t>
      </w:r>
      <w:r w:rsidRPr="001F39FD">
        <w:rPr>
          <w:rFonts w:asciiTheme="majorHAnsi" w:eastAsia="Times New Roman" w:hAnsiTheme="majorHAnsi" w:cstheme="majorHAnsi"/>
          <w:b/>
          <w:bCs/>
          <w:sz w:val="24"/>
          <w:szCs w:val="24"/>
          <w:lang w:eastAsia="pt-BR"/>
        </w:rPr>
        <w:t>____</w:t>
      </w:r>
      <w:r w:rsidRPr="0045684C">
        <w:rPr>
          <w:rFonts w:asciiTheme="majorHAnsi" w:eastAsia="Times New Roman" w:hAnsiTheme="majorHAnsi" w:cstheme="majorHAnsi"/>
          <w:sz w:val="24"/>
          <w:szCs w:val="24"/>
          <w:lang w:eastAsia="pt-BR"/>
        </w:rPr>
        <w:t xml:space="preserve">, publicada no dia </w:t>
      </w:r>
      <w:r w:rsidRPr="001F39FD">
        <w:rPr>
          <w:rFonts w:asciiTheme="majorHAnsi" w:eastAsia="Times New Roman" w:hAnsiTheme="majorHAnsi" w:cstheme="majorHAnsi"/>
          <w:b/>
          <w:bCs/>
          <w:sz w:val="24"/>
          <w:szCs w:val="24"/>
          <w:lang w:eastAsia="pt-BR"/>
        </w:rPr>
        <w:t>/</w:t>
      </w:r>
      <w:r w:rsidRPr="0045684C">
        <w:rPr>
          <w:rFonts w:asciiTheme="majorHAnsi" w:eastAsia="Times New Roman" w:hAnsiTheme="majorHAnsi" w:cstheme="majorHAnsi"/>
          <w:sz w:val="24"/>
          <w:szCs w:val="24"/>
          <w:lang w:eastAsia="pt-BR"/>
        </w:rPr>
        <w:t>/____, para REGISTRO DE PREÇOS n.º _</w:t>
      </w:r>
      <w:r w:rsidRPr="001F39FD">
        <w:rPr>
          <w:rFonts w:asciiTheme="majorHAnsi" w:eastAsia="Times New Roman" w:hAnsiTheme="majorHAnsi" w:cstheme="majorHAnsi"/>
          <w:b/>
          <w:bCs/>
          <w:sz w:val="24"/>
          <w:szCs w:val="24"/>
          <w:lang w:eastAsia="pt-BR"/>
        </w:rPr>
        <w:t>/20</w:t>
      </w:r>
      <w:r w:rsidRPr="0045684C">
        <w:rPr>
          <w:rFonts w:asciiTheme="majorHAnsi" w:eastAsia="Times New Roman" w:hAnsiTheme="majorHAnsi" w:cstheme="majorHAnsi"/>
          <w:sz w:val="24"/>
          <w:szCs w:val="24"/>
          <w:lang w:eastAsia="pt-BR"/>
        </w:rPr>
        <w:t>, processo administrativo n.º _</w:t>
      </w:r>
      <w:r w:rsidRPr="001F39FD">
        <w:rPr>
          <w:rFonts w:asciiTheme="majorHAnsi" w:eastAsia="Times New Roman" w:hAnsiTheme="majorHAnsi" w:cstheme="majorHAnsi"/>
          <w:b/>
          <w:bCs/>
          <w:sz w:val="24"/>
          <w:szCs w:val="24"/>
          <w:lang w:eastAsia="pt-BR"/>
        </w:rPr>
        <w:t>/20</w:t>
      </w:r>
      <w:r w:rsidRPr="0045684C">
        <w:rPr>
          <w:rFonts w:asciiTheme="majorHAnsi" w:eastAsia="Times New Roman" w:hAnsiTheme="majorHAnsi" w:cstheme="majorHAnsi"/>
          <w:sz w:val="24"/>
          <w:szCs w:val="24"/>
          <w:lang w:eastAsia="pt-BR"/>
        </w:rPr>
        <w:t>, RESOLVE registrar os preços da(s) empresa(s) indicada(s) e qualificada(s) nesta ATA, de acordo com a classificação por ela(s) alcançada(s) e na(s) quantidade(s) cotada(s), atendendo às condições previstas no Edital de licitação, sujeitando-se as partes às normas constantes na Lei n.º 14.133, de 1.º de abril de 2021, no Decreto n.º 11.462, de 31 de março de 2023, e em conformidade com as disposições a seguir:</w:t>
      </w:r>
    </w:p>
    <w:p w:rsidR="0045684C" w:rsidRPr="0045684C" w:rsidRDefault="0045684C" w:rsidP="0045684C">
      <w:pPr>
        <w:pStyle w:val="Ttulo3"/>
        <w:rPr>
          <w:rFonts w:cstheme="majorHAnsi"/>
          <w:color w:val="auto"/>
          <w:sz w:val="24"/>
          <w:szCs w:val="24"/>
        </w:rPr>
      </w:pPr>
      <w:r w:rsidRPr="0045684C">
        <w:rPr>
          <w:rFonts w:cstheme="majorHAnsi"/>
          <w:color w:val="auto"/>
          <w:sz w:val="24"/>
          <w:szCs w:val="24"/>
          <w:highlight w:val="lightGray"/>
        </w:rPr>
        <w:t>1. OBJETO</w:t>
      </w:r>
    </w:p>
    <w:p w:rsidR="0045684C" w:rsidRPr="0045684C" w:rsidRDefault="0045684C" w:rsidP="001F39FD">
      <w:pPr>
        <w:pStyle w:val="NormalWeb"/>
        <w:spacing w:before="0" w:beforeAutospacing="0" w:after="0" w:afterAutospacing="0" w:line="360" w:lineRule="auto"/>
        <w:jc w:val="both"/>
        <w:rPr>
          <w:rFonts w:asciiTheme="majorHAnsi" w:hAnsiTheme="majorHAnsi" w:cstheme="majorHAnsi"/>
        </w:rPr>
      </w:pPr>
      <w:r w:rsidRPr="0045684C">
        <w:rPr>
          <w:rFonts w:asciiTheme="majorHAnsi" w:hAnsiTheme="majorHAnsi" w:cstheme="majorHAnsi"/>
        </w:rPr>
        <w:t xml:space="preserve">1.1. A presente Ata tem por objeto o registro de preços para a eventual aquisição de </w:t>
      </w:r>
      <w:r w:rsidRPr="0045684C">
        <w:rPr>
          <w:rStyle w:val="Forte"/>
          <w:rFonts w:asciiTheme="majorHAnsi" w:hAnsiTheme="majorHAnsi" w:cstheme="majorHAnsi"/>
        </w:rPr>
        <w:t>_____</w:t>
      </w:r>
      <w:r w:rsidRPr="0045684C">
        <w:rPr>
          <w:rFonts w:asciiTheme="majorHAnsi" w:hAnsiTheme="majorHAnsi" w:cstheme="majorHAnsi"/>
        </w:rPr>
        <w:t xml:space="preserve">, especificado(s) no(s) item(ns) </w:t>
      </w:r>
      <w:r w:rsidRPr="0045684C">
        <w:rPr>
          <w:rStyle w:val="Forte"/>
          <w:rFonts w:asciiTheme="majorHAnsi" w:hAnsiTheme="majorHAnsi" w:cstheme="majorHAnsi"/>
        </w:rPr>
        <w:t>____</w:t>
      </w:r>
      <w:r w:rsidRPr="0045684C">
        <w:rPr>
          <w:rFonts w:asciiTheme="majorHAnsi" w:hAnsiTheme="majorHAnsi" w:cstheme="majorHAnsi"/>
        </w:rPr>
        <w:t xml:space="preserve"> do Termo de Referência, anexo ao Edital de Pregão Eletrônico n.º _</w:t>
      </w:r>
      <w:r w:rsidRPr="0045684C">
        <w:rPr>
          <w:rStyle w:val="Forte"/>
          <w:rFonts w:asciiTheme="majorHAnsi" w:hAnsiTheme="majorHAnsi" w:cstheme="majorHAnsi"/>
        </w:rPr>
        <w:t>/20</w:t>
      </w:r>
      <w:r w:rsidRPr="0045684C">
        <w:rPr>
          <w:rFonts w:asciiTheme="majorHAnsi" w:hAnsiTheme="majorHAnsi" w:cstheme="majorHAnsi"/>
        </w:rPr>
        <w:t>, que é parte integrante desta Ata, assim como a proposta vencedora, independentemente de transcrição.</w:t>
      </w:r>
    </w:p>
    <w:p w:rsidR="0045684C" w:rsidRPr="0045684C" w:rsidRDefault="0045684C" w:rsidP="001F39FD">
      <w:pPr>
        <w:pStyle w:val="NormalWeb"/>
        <w:spacing w:before="0" w:beforeAutospacing="0" w:after="0" w:afterAutospacing="0" w:line="360" w:lineRule="auto"/>
        <w:jc w:val="both"/>
        <w:rPr>
          <w:rFonts w:asciiTheme="majorHAnsi" w:hAnsiTheme="majorHAnsi" w:cstheme="majorHAnsi"/>
        </w:rPr>
      </w:pPr>
      <w:r w:rsidRPr="0045684C">
        <w:rPr>
          <w:rFonts w:asciiTheme="majorHAnsi" w:hAnsiTheme="majorHAnsi" w:cstheme="majorHAnsi"/>
        </w:rPr>
        <w:t>1.2. O fornecimento do objeto desta Ata de Registro de Preços obedecerá ao estipulado neste instrumento, bem como às disposições constantes dos documentos adiante enumerados, que, independentemente de transcrição, fazem parte integrante e complementar deste contrato:</w:t>
      </w:r>
    </w:p>
    <w:p w:rsidR="0045684C" w:rsidRPr="0045684C" w:rsidRDefault="0045684C" w:rsidP="001F39FD">
      <w:pPr>
        <w:pStyle w:val="NormalWeb"/>
        <w:spacing w:before="0" w:beforeAutospacing="0" w:after="0" w:afterAutospacing="0" w:line="360" w:lineRule="auto"/>
        <w:jc w:val="both"/>
        <w:rPr>
          <w:rFonts w:asciiTheme="majorHAnsi" w:hAnsiTheme="majorHAnsi" w:cstheme="majorHAnsi"/>
        </w:rPr>
      </w:pPr>
      <w:r w:rsidRPr="0045684C">
        <w:rPr>
          <w:rFonts w:asciiTheme="majorHAnsi" w:hAnsiTheme="majorHAnsi" w:cstheme="majorHAnsi"/>
        </w:rPr>
        <w:t>1.2.1. Proposta da CONTRATADA do PREGÃO ELETRÔNICO N.º _</w:t>
      </w:r>
      <w:r w:rsidRPr="0045684C">
        <w:rPr>
          <w:rStyle w:val="Forte"/>
          <w:rFonts w:asciiTheme="majorHAnsi" w:hAnsiTheme="majorHAnsi" w:cstheme="majorHAnsi"/>
        </w:rPr>
        <w:t>/20</w:t>
      </w:r>
      <w:r w:rsidRPr="0045684C">
        <w:rPr>
          <w:rFonts w:asciiTheme="majorHAnsi" w:hAnsiTheme="majorHAnsi" w:cstheme="majorHAnsi"/>
        </w:rPr>
        <w:t>;</w:t>
      </w:r>
      <w:r w:rsidRPr="0045684C">
        <w:rPr>
          <w:rFonts w:asciiTheme="majorHAnsi" w:hAnsiTheme="majorHAnsi" w:cstheme="majorHAnsi"/>
        </w:rPr>
        <w:br/>
        <w:t>1.2.2. Edital de PREGÃO ELETRÔNICO N.º _</w:t>
      </w:r>
      <w:r w:rsidRPr="0045684C">
        <w:rPr>
          <w:rStyle w:val="Forte"/>
          <w:rFonts w:asciiTheme="majorHAnsi" w:hAnsiTheme="majorHAnsi" w:cstheme="majorHAnsi"/>
        </w:rPr>
        <w:t>/20</w:t>
      </w:r>
      <w:r w:rsidRPr="0045684C">
        <w:rPr>
          <w:rFonts w:asciiTheme="majorHAnsi" w:hAnsiTheme="majorHAnsi" w:cstheme="majorHAnsi"/>
        </w:rPr>
        <w:t xml:space="preserve"> e seus anexos;</w:t>
      </w:r>
      <w:r w:rsidRPr="0045684C">
        <w:rPr>
          <w:rFonts w:asciiTheme="majorHAnsi" w:hAnsiTheme="majorHAnsi" w:cstheme="majorHAnsi"/>
        </w:rPr>
        <w:br/>
        <w:t>1.2.3. Termo de Referência.</w:t>
      </w:r>
    </w:p>
    <w:p w:rsidR="0045684C" w:rsidRPr="0045684C" w:rsidRDefault="0045684C" w:rsidP="0045684C">
      <w:pPr>
        <w:pStyle w:val="Ttulo3"/>
        <w:rPr>
          <w:rFonts w:cstheme="majorHAnsi"/>
          <w:color w:val="auto"/>
          <w:sz w:val="24"/>
          <w:szCs w:val="24"/>
        </w:rPr>
      </w:pPr>
      <w:r w:rsidRPr="0045684C">
        <w:rPr>
          <w:rFonts w:cstheme="majorHAnsi"/>
          <w:color w:val="auto"/>
          <w:sz w:val="24"/>
          <w:szCs w:val="24"/>
          <w:highlight w:val="lightGray"/>
        </w:rPr>
        <w:t>2. PREÇOS, ESPECIFICAÇÕES E QUANTITATIVOS</w:t>
      </w:r>
    </w:p>
    <w:p w:rsidR="0045684C" w:rsidRPr="0045684C" w:rsidRDefault="0045684C" w:rsidP="0045684C">
      <w:pPr>
        <w:pStyle w:val="NormalWeb"/>
        <w:rPr>
          <w:rFonts w:asciiTheme="majorHAnsi" w:hAnsiTheme="majorHAnsi" w:cstheme="majorHAnsi"/>
        </w:rPr>
      </w:pPr>
      <w:r w:rsidRPr="0045684C">
        <w:rPr>
          <w:rFonts w:asciiTheme="majorHAnsi" w:hAnsiTheme="majorHAnsi" w:cstheme="majorHAnsi"/>
        </w:rPr>
        <w:t>2.1. O preço registrado, as especificações do objeto, a quantidade, fornecedor(es) e as demais condições ofertadas na(s) proposta(s) são as que seguem:</w:t>
      </w:r>
    </w:p>
    <w:tbl>
      <w:tblPr>
        <w:tblStyle w:val="Tabelacomgrade"/>
        <w:tblW w:w="0" w:type="auto"/>
        <w:tblLook w:val="04A0" w:firstRow="1" w:lastRow="0" w:firstColumn="1" w:lastColumn="0" w:noHBand="0" w:noVBand="1"/>
      </w:tblPr>
      <w:tblGrid>
        <w:gridCol w:w="1463"/>
        <w:gridCol w:w="1517"/>
        <w:gridCol w:w="1463"/>
        <w:gridCol w:w="1463"/>
        <w:gridCol w:w="1464"/>
        <w:gridCol w:w="1464"/>
      </w:tblGrid>
      <w:tr w:rsidR="0045684C" w:rsidRPr="0045684C" w:rsidTr="0045684C">
        <w:tc>
          <w:tcPr>
            <w:tcW w:w="1463" w:type="dxa"/>
            <w:vMerge w:val="restart"/>
            <w:vAlign w:val="center"/>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Item</w:t>
            </w:r>
          </w:p>
        </w:tc>
        <w:tc>
          <w:tcPr>
            <w:tcW w:w="7317" w:type="dxa"/>
            <w:gridSpan w:val="5"/>
          </w:tcPr>
          <w:p w:rsidR="0045684C" w:rsidRPr="0045684C" w:rsidRDefault="0045684C" w:rsidP="0045684C">
            <w:pPr>
              <w:pStyle w:val="NormalWeb"/>
              <w:rPr>
                <w:rFonts w:asciiTheme="majorHAnsi" w:hAnsiTheme="majorHAnsi" w:cstheme="majorHAnsi"/>
              </w:rPr>
            </w:pPr>
            <w:r w:rsidRPr="0045684C">
              <w:rPr>
                <w:rStyle w:val="Forte"/>
                <w:rFonts w:asciiTheme="majorHAnsi" w:hAnsiTheme="majorHAnsi" w:cstheme="majorHAnsi"/>
              </w:rPr>
              <w:t>Fornecedor</w:t>
            </w:r>
            <w:r w:rsidRPr="0045684C">
              <w:rPr>
                <w:rFonts w:asciiTheme="majorHAnsi" w:hAnsiTheme="majorHAnsi" w:cstheme="majorHAnsi"/>
              </w:rPr>
              <w:t xml:space="preserve">: </w:t>
            </w:r>
            <w:r w:rsidRPr="0045684C">
              <w:rPr>
                <w:rFonts w:asciiTheme="majorHAnsi" w:hAnsiTheme="majorHAnsi" w:cstheme="majorHAnsi"/>
                <w:color w:val="FF0000"/>
              </w:rPr>
              <w:t>(razão social, CNPJ/MF, endereço, contatos, representante)</w:t>
            </w:r>
          </w:p>
        </w:tc>
      </w:tr>
      <w:tr w:rsidR="0045684C" w:rsidRPr="0045684C" w:rsidTr="0045684C">
        <w:tc>
          <w:tcPr>
            <w:tcW w:w="1463" w:type="dxa"/>
            <w:vMerge/>
          </w:tcPr>
          <w:p w:rsidR="0045684C" w:rsidRPr="0045684C" w:rsidRDefault="0045684C" w:rsidP="0045684C">
            <w:pPr>
              <w:pStyle w:val="NormalWeb"/>
              <w:rPr>
                <w:rFonts w:asciiTheme="majorHAnsi" w:hAnsiTheme="majorHAnsi" w:cstheme="majorHAnsi"/>
              </w:rPr>
            </w:pPr>
          </w:p>
        </w:tc>
        <w:tc>
          <w:tcPr>
            <w:tcW w:w="1463" w:type="dxa"/>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Especificação</w:t>
            </w:r>
          </w:p>
        </w:tc>
        <w:tc>
          <w:tcPr>
            <w:tcW w:w="1463" w:type="dxa"/>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Unid.</w:t>
            </w:r>
          </w:p>
        </w:tc>
        <w:tc>
          <w:tcPr>
            <w:tcW w:w="1463" w:type="dxa"/>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Qtde.</w:t>
            </w:r>
          </w:p>
        </w:tc>
        <w:tc>
          <w:tcPr>
            <w:tcW w:w="1464" w:type="dxa"/>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Valor Unitário</w:t>
            </w:r>
          </w:p>
        </w:tc>
        <w:tc>
          <w:tcPr>
            <w:tcW w:w="1464" w:type="dxa"/>
          </w:tcPr>
          <w:p w:rsidR="0045684C" w:rsidRPr="0045684C" w:rsidRDefault="0045684C" w:rsidP="0045684C">
            <w:pPr>
              <w:pStyle w:val="NormalWeb"/>
              <w:jc w:val="center"/>
              <w:rPr>
                <w:rFonts w:asciiTheme="majorHAnsi" w:hAnsiTheme="majorHAnsi" w:cstheme="majorHAnsi"/>
              </w:rPr>
            </w:pPr>
            <w:r w:rsidRPr="0045684C">
              <w:rPr>
                <w:rFonts w:asciiTheme="majorHAnsi" w:hAnsiTheme="majorHAnsi" w:cstheme="majorHAnsi"/>
              </w:rPr>
              <w:t>Valor Total</w:t>
            </w:r>
          </w:p>
        </w:tc>
      </w:tr>
      <w:tr w:rsidR="0045684C" w:rsidRPr="0045684C" w:rsidTr="0045684C">
        <w:tc>
          <w:tcPr>
            <w:tcW w:w="1463" w:type="dxa"/>
          </w:tcPr>
          <w:p w:rsidR="0045684C" w:rsidRPr="0045684C" w:rsidRDefault="0045684C" w:rsidP="0045684C">
            <w:pPr>
              <w:pStyle w:val="NormalWeb"/>
              <w:rPr>
                <w:rFonts w:asciiTheme="majorHAnsi" w:hAnsiTheme="majorHAnsi" w:cstheme="majorHAnsi"/>
              </w:rPr>
            </w:pPr>
          </w:p>
        </w:tc>
        <w:tc>
          <w:tcPr>
            <w:tcW w:w="1463" w:type="dxa"/>
          </w:tcPr>
          <w:p w:rsidR="0045684C" w:rsidRPr="0045684C" w:rsidRDefault="0045684C" w:rsidP="0045684C">
            <w:pPr>
              <w:pStyle w:val="NormalWeb"/>
              <w:rPr>
                <w:rFonts w:asciiTheme="majorHAnsi" w:hAnsiTheme="majorHAnsi" w:cstheme="majorHAnsi"/>
              </w:rPr>
            </w:pPr>
          </w:p>
        </w:tc>
        <w:tc>
          <w:tcPr>
            <w:tcW w:w="1463" w:type="dxa"/>
          </w:tcPr>
          <w:p w:rsidR="0045684C" w:rsidRPr="0045684C" w:rsidRDefault="0045684C" w:rsidP="0045684C">
            <w:pPr>
              <w:pStyle w:val="NormalWeb"/>
              <w:rPr>
                <w:rFonts w:asciiTheme="majorHAnsi" w:hAnsiTheme="majorHAnsi" w:cstheme="majorHAnsi"/>
              </w:rPr>
            </w:pPr>
          </w:p>
        </w:tc>
        <w:tc>
          <w:tcPr>
            <w:tcW w:w="1463" w:type="dxa"/>
          </w:tcPr>
          <w:p w:rsidR="0045684C" w:rsidRPr="0045684C" w:rsidRDefault="0045684C" w:rsidP="0045684C">
            <w:pPr>
              <w:pStyle w:val="NormalWeb"/>
              <w:rPr>
                <w:rFonts w:asciiTheme="majorHAnsi" w:hAnsiTheme="majorHAnsi" w:cstheme="majorHAnsi"/>
              </w:rPr>
            </w:pPr>
          </w:p>
        </w:tc>
        <w:tc>
          <w:tcPr>
            <w:tcW w:w="1464" w:type="dxa"/>
          </w:tcPr>
          <w:p w:rsidR="0045684C" w:rsidRPr="0045684C" w:rsidRDefault="0045684C" w:rsidP="0045684C">
            <w:pPr>
              <w:pStyle w:val="NormalWeb"/>
              <w:rPr>
                <w:rFonts w:asciiTheme="majorHAnsi" w:hAnsiTheme="majorHAnsi" w:cstheme="majorHAnsi"/>
              </w:rPr>
            </w:pPr>
          </w:p>
        </w:tc>
        <w:tc>
          <w:tcPr>
            <w:tcW w:w="1464" w:type="dxa"/>
          </w:tcPr>
          <w:p w:rsidR="0045684C" w:rsidRPr="0045684C" w:rsidRDefault="0045684C" w:rsidP="0045684C">
            <w:pPr>
              <w:pStyle w:val="NormalWeb"/>
              <w:rPr>
                <w:rFonts w:asciiTheme="majorHAnsi" w:hAnsiTheme="majorHAnsi" w:cstheme="majorHAnsi"/>
              </w:rPr>
            </w:pPr>
          </w:p>
        </w:tc>
      </w:tr>
    </w:tbl>
    <w:p w:rsidR="0045684C" w:rsidRDefault="0045684C" w:rsidP="00600D6F">
      <w:pPr>
        <w:pStyle w:val="NormalWeb"/>
        <w:jc w:val="both"/>
        <w:rPr>
          <w:rFonts w:asciiTheme="majorHAnsi" w:hAnsiTheme="majorHAnsi" w:cstheme="majorHAnsi"/>
        </w:rPr>
      </w:pPr>
      <w:r w:rsidRPr="0045684C">
        <w:rPr>
          <w:rFonts w:asciiTheme="majorHAnsi" w:hAnsiTheme="majorHAnsi" w:cstheme="majorHAnsi"/>
        </w:rPr>
        <w:t>2.2. A listagem do cadastro de reserva referente ao presente registro de preços consta como anexo a esta Ata.</w:t>
      </w:r>
    </w:p>
    <w:p w:rsidR="001F39FD" w:rsidRPr="0045684C" w:rsidRDefault="001F39FD" w:rsidP="00600D6F">
      <w:pPr>
        <w:pStyle w:val="NormalWeb"/>
        <w:jc w:val="both"/>
        <w:rPr>
          <w:rFonts w:asciiTheme="majorHAnsi" w:hAnsiTheme="majorHAnsi" w:cstheme="majorHAnsi"/>
        </w:rPr>
      </w:pPr>
    </w:p>
    <w:p w:rsidR="00600D6F" w:rsidRDefault="0045684C" w:rsidP="00600D6F">
      <w:pPr>
        <w:spacing w:before="100" w:beforeAutospacing="1" w:after="100" w:afterAutospacing="1" w:line="240" w:lineRule="auto"/>
        <w:jc w:val="both"/>
        <w:rPr>
          <w:rFonts w:asciiTheme="majorHAnsi" w:eastAsia="Times New Roman" w:hAnsiTheme="majorHAnsi" w:cstheme="majorHAnsi"/>
          <w:b/>
          <w:bCs/>
          <w:sz w:val="24"/>
          <w:szCs w:val="24"/>
          <w:lang w:eastAsia="pt-BR"/>
        </w:rPr>
      </w:pPr>
      <w:r w:rsidRPr="00600D6F">
        <w:rPr>
          <w:rFonts w:asciiTheme="majorHAnsi" w:eastAsia="Times New Roman" w:hAnsiTheme="majorHAnsi" w:cstheme="majorHAnsi"/>
          <w:b/>
          <w:bCs/>
          <w:sz w:val="24"/>
          <w:szCs w:val="24"/>
          <w:highlight w:val="lightGray"/>
          <w:lang w:eastAsia="pt-BR"/>
        </w:rPr>
        <w:t>3. ÓRGÃO GERENCIADOR E PARTICIPANTE(S)</w:t>
      </w:r>
    </w:p>
    <w:p w:rsidR="00600D6F" w:rsidRDefault="0045684C" w:rsidP="00600D6F">
      <w:pPr>
        <w:spacing w:before="100" w:beforeAutospacing="1" w:after="100" w:afterAutospacing="1" w:line="240" w:lineRule="auto"/>
        <w:jc w:val="both"/>
        <w:rPr>
          <w:rFonts w:asciiTheme="majorHAnsi" w:eastAsia="Times New Roman" w:hAnsiTheme="majorHAnsi" w:cstheme="majorHAnsi"/>
          <w:color w:val="FF0000"/>
          <w:sz w:val="24"/>
          <w:szCs w:val="24"/>
          <w:lang w:eastAsia="pt-BR"/>
        </w:rPr>
      </w:pPr>
      <w:r w:rsidRPr="0045684C">
        <w:rPr>
          <w:rFonts w:asciiTheme="majorHAnsi" w:eastAsia="Times New Roman" w:hAnsiTheme="majorHAnsi" w:cstheme="majorHAnsi"/>
          <w:sz w:val="24"/>
          <w:szCs w:val="24"/>
          <w:lang w:eastAsia="pt-BR"/>
        </w:rPr>
        <w:t xml:space="preserve">3.1. O órgão gerenciador será o </w:t>
      </w:r>
      <w:r w:rsidRPr="0045684C">
        <w:rPr>
          <w:rFonts w:asciiTheme="majorHAnsi" w:eastAsia="Times New Roman" w:hAnsiTheme="majorHAnsi" w:cstheme="majorHAnsi"/>
          <w:b/>
          <w:bCs/>
          <w:color w:val="FF0000"/>
          <w:sz w:val="24"/>
          <w:szCs w:val="24"/>
          <w:lang w:eastAsia="pt-BR"/>
        </w:rPr>
        <w:t>(nome do órgão)</w:t>
      </w:r>
      <w:r w:rsidRPr="0045684C">
        <w:rPr>
          <w:rFonts w:asciiTheme="majorHAnsi" w:eastAsia="Times New Roman" w:hAnsiTheme="majorHAnsi" w:cstheme="majorHAnsi"/>
          <w:color w:val="FF0000"/>
          <w:sz w:val="24"/>
          <w:szCs w:val="24"/>
          <w:lang w:eastAsia="pt-BR"/>
        </w:rPr>
        <w:t>.</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3.2. Não há órgãos e entidades públicas participantes do referido registro de preços.</w:t>
      </w:r>
    </w:p>
    <w:p w:rsidR="0045684C" w:rsidRPr="0045684C" w:rsidRDefault="0045684C" w:rsidP="00600D6F">
      <w:pPr>
        <w:spacing w:after="0" w:line="240" w:lineRule="auto"/>
        <w:jc w:val="both"/>
        <w:rPr>
          <w:rFonts w:asciiTheme="majorHAnsi" w:eastAsia="Times New Roman" w:hAnsiTheme="majorHAnsi" w:cstheme="majorHAnsi"/>
          <w:sz w:val="24"/>
          <w:szCs w:val="24"/>
          <w:lang w:eastAsia="pt-BR"/>
        </w:rPr>
      </w:pPr>
    </w:p>
    <w:p w:rsidR="00600D6F" w:rsidRDefault="0045684C" w:rsidP="00600D6F">
      <w:pPr>
        <w:spacing w:before="100" w:beforeAutospacing="1" w:after="100" w:afterAutospacing="1" w:line="240" w:lineRule="auto"/>
        <w:jc w:val="both"/>
        <w:rPr>
          <w:rFonts w:asciiTheme="majorHAnsi" w:eastAsia="Times New Roman" w:hAnsiTheme="majorHAnsi" w:cstheme="majorHAnsi"/>
          <w:b/>
          <w:bCs/>
          <w:sz w:val="24"/>
          <w:szCs w:val="24"/>
          <w:lang w:eastAsia="pt-BR"/>
        </w:rPr>
      </w:pPr>
      <w:r w:rsidRPr="00600D6F">
        <w:rPr>
          <w:rFonts w:asciiTheme="majorHAnsi" w:eastAsia="Times New Roman" w:hAnsiTheme="majorHAnsi" w:cstheme="majorHAnsi"/>
          <w:b/>
          <w:bCs/>
          <w:sz w:val="24"/>
          <w:szCs w:val="24"/>
          <w:highlight w:val="lightGray"/>
          <w:lang w:eastAsia="pt-BR"/>
        </w:rPr>
        <w:t>4. ADESÃO À ATA DE REGISTRO DE PREÇOS</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4.1. Não será admitida a adesão à ata de registro de preços decorrente desta licitação, conforme justificativa apresentada nos estudos técnicos preliminares.</w:t>
      </w:r>
    </w:p>
    <w:p w:rsidR="0045684C" w:rsidRPr="0045684C" w:rsidRDefault="0045684C" w:rsidP="00600D6F">
      <w:pPr>
        <w:spacing w:after="0" w:line="240" w:lineRule="auto"/>
        <w:jc w:val="both"/>
        <w:rPr>
          <w:rFonts w:asciiTheme="majorHAnsi" w:eastAsia="Times New Roman" w:hAnsiTheme="majorHAnsi" w:cstheme="majorHAnsi"/>
          <w:sz w:val="24"/>
          <w:szCs w:val="24"/>
          <w:lang w:eastAsia="pt-BR"/>
        </w:rPr>
      </w:pPr>
    </w:p>
    <w:p w:rsidR="00600D6F" w:rsidRDefault="0045684C" w:rsidP="00600D6F">
      <w:pPr>
        <w:spacing w:before="100" w:beforeAutospacing="1" w:after="100" w:afterAutospacing="1" w:line="240" w:lineRule="auto"/>
        <w:jc w:val="both"/>
        <w:rPr>
          <w:rFonts w:asciiTheme="majorHAnsi" w:eastAsia="Times New Roman" w:hAnsiTheme="majorHAnsi" w:cstheme="majorHAnsi"/>
          <w:b/>
          <w:bCs/>
          <w:sz w:val="24"/>
          <w:szCs w:val="24"/>
          <w:lang w:eastAsia="pt-BR"/>
        </w:rPr>
      </w:pPr>
      <w:r w:rsidRPr="00600D6F">
        <w:rPr>
          <w:rFonts w:asciiTheme="majorHAnsi" w:eastAsia="Times New Roman" w:hAnsiTheme="majorHAnsi" w:cstheme="majorHAnsi"/>
          <w:b/>
          <w:bCs/>
          <w:sz w:val="24"/>
          <w:szCs w:val="24"/>
          <w:highlight w:val="lightGray"/>
          <w:lang w:eastAsia="pt-BR"/>
        </w:rPr>
        <w:t>5. VALIDADE, FORMALIZAÇÃO DA ATA DE REGISTRO DE PREÇOS E CADASTRO RESERVA</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5.1. A Ata de Registro de Preços, ora firmada, terá vigência de 01 (um) ano, contados a partir da sua assinatura, podendo ser prorrogada, por igual período, desde que comprovado o preço vantajoso, nos termos do art. 84 da Lei Federal nº 14.133/2021 e art. 119 do Decreto Municipal nº 216/2023.</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5.1.2. Na formalização do contrato ou do instrumento substitutivo deverá haver a indicação da disponibilidade dos créditos orçamentários respectivos.</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5.1.3. Durante a vigência do contrato, é vedado ao contratado contratar cônjuge, companheiro ou parente em linha reta, colateral ou por afinidade, até o terceiro grau, de dirigente do órgão ou entidade contratante ou de agente público que desempenhe função na licitação ou atue na fiscalização ou na gestão do contrato.</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5.2. A contratação com os fornecedores registrados na ata será formalizada pelo órgão por intermédio de instrumento contratual, emissão de nota de empenho de despesa, autorização de compra ou outro instrumento hábil, conforme o art. 95 da Lei nº 14.133, de 2021.</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5.2.1. O instrumento contratual de que trata o item 4.2 deverá ser assinado no prazo de validade da ata de registro de preços.</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5.3. Os contratos decorrentes do sistema de registro de preços poderão ser alterados, observado o art. 124 da Lei nº 14.133, de 2021.</w:t>
      </w:r>
    </w:p>
    <w:p w:rsidR="0045684C" w:rsidRP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5.4. Após a homologação da licitação ou da contratação direta, deverão ser observadas as seguintes condições para formalização da ata de registro de preços:</w:t>
      </w:r>
    </w:p>
    <w:p w:rsidR="0045684C" w:rsidRDefault="0045684C"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45684C">
        <w:rPr>
          <w:rFonts w:asciiTheme="majorHAnsi" w:eastAsia="Times New Roman" w:hAnsiTheme="majorHAnsi" w:cstheme="majorHAnsi"/>
          <w:sz w:val="24"/>
          <w:szCs w:val="24"/>
          <w:lang w:eastAsia="pt-BR"/>
        </w:rPr>
        <w:t>5.4.1.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5.4.2. Será incluído na ata, na forma de anexo, o registro dos licitantes ou dos fornecedores que:</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5.4.2.1. Aceitarem cotar os bens, as obras ou os serviços com preços iguais aos do adjudicatário, observada a classificação da licitação; e</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5.4.2.2. Mantiverem sua proposta original.</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5.4.3. Será respeitada, nas contratações, a ordem de classificação dos licitantes ou dos fornecedores registrados na ata.</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5.5. O registro a que se refere o item 5.4.2 tem por objetivo a formação de cadastro de reserva para caso de impossibilidade de atendimento pelo signatário da ata.</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5.6. Para fins da ordem de classificação, os licitantes ou fornecedores que aceitarem reduzir suas propostas para o preço do adjudicatário antecederão aqueles que mantiverem sua proposta original.</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5.7. A habilitação dos licitantes que comporão o cadastro de reserva a que se refere o item 5.4.2.2 somente será efetuada quando houver necessidade de contratação dos licitantes remanescentes, nas seguintes hipóteses:</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5.7.1. Quando o licitante vencedor não assinar a ata de registro de preços, no prazo e nas condições estabelecidas no edital; e</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5.7.2. Quando houver o cancelamento do registro do licitante ou do registro de preços nas hipóteses previstas no item 8.</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5.8. O preço registrado com indicação dos licitantes e fornecedores será divulgado no PNCP e ficará disponibilizado durante a vigência da ata de registro de preços.</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5.9. Após a homologação da licitação, o licitante mais bem classificado será convocado para assinar a ata de registro de preços, no prazo e nas condições estabelecidas no edital, sob pena de decair o direito, sem prejuízo das sanções previstas na Lei nº 14.133, de 2021.</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5.9.1. O prazo de convocação poderá ser prorrogado 1 (uma) vez, por igual período, mediante solicitação do licitante, desde que apresentada dentro do prazo, devidamente justificada, e que a justificativa seja aceita pela Administração.</w:t>
      </w: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5.10. A ata de registro de preços será assinada por meio de assinatura digital e disponibilizada no Sistema de Registro de Preços.</w:t>
      </w:r>
    </w:p>
    <w:p w:rsidR="00600D6F" w:rsidRPr="0045684C" w:rsidRDefault="00600D6F" w:rsidP="00600D6F">
      <w:pPr>
        <w:spacing w:before="100" w:beforeAutospacing="1" w:after="100" w:afterAutospacing="1" w:line="240" w:lineRule="auto"/>
        <w:jc w:val="both"/>
        <w:rPr>
          <w:rFonts w:asciiTheme="majorHAnsi" w:eastAsia="Times New Roman" w:hAnsiTheme="majorHAnsi" w:cstheme="majorHAnsi"/>
          <w:sz w:val="24"/>
          <w:szCs w:val="24"/>
          <w:lang w:eastAsia="pt-BR"/>
        </w:rPr>
      </w:pPr>
      <w:r w:rsidRPr="00600D6F">
        <w:rPr>
          <w:rFonts w:asciiTheme="majorHAnsi" w:eastAsia="Times New Roman" w:hAnsiTheme="majorHAnsi" w:cstheme="majorHAnsi"/>
          <w:sz w:val="24"/>
          <w:szCs w:val="24"/>
          <w:lang w:eastAsia="pt-BR"/>
        </w:rPr>
        <w:t>5.11. Quando o convocado não assinar a ata de registro de preços no prazo e nas condições estabelecidas no edital, e observado o disposto no item 8, subitem 8.3, fica facultado à Administração convocar os licitantes remanescentes do cadastro de reserva, na ordem de classificação, para fazê-lo em igual prazo e nas condições propostas pelo primeiro classificado.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5.12. Na hipótese de nenhum dos licitantes que trata o item 5.4.2.1 aceitar a contratação nos termos do item anterior, a Administração, observados o valor estimado e sua eventual atualização nos termos do edital, poderá:</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5.12.1. Convocar para negociação os demais licitantes remanescentes cujos preços foram registrados sem redução, observada a ordem de classificação, com vistas à obtenção de preço melhor, mesmo que acima do preço do adjudicatário; ou</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5.12.2. Adjudicar e firmar o contrato nas condições ofertadas pelos licitantes remanescentes, atendida a ordem classificatória, quando frustrada a negociação de melhor condição.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5.13.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600D6F" w:rsidRPr="00600D6F" w:rsidRDefault="00600D6F" w:rsidP="00600D6F">
      <w:pPr>
        <w:jc w:val="both"/>
        <w:rPr>
          <w:rFonts w:asciiTheme="majorHAnsi" w:hAnsiTheme="majorHAnsi" w:cstheme="majorHAnsi"/>
          <w:sz w:val="24"/>
          <w:szCs w:val="24"/>
        </w:rPr>
      </w:pP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600D6F">
        <w:rPr>
          <w:rFonts w:asciiTheme="majorHAnsi" w:eastAsia="Times New Roman" w:hAnsiTheme="majorHAnsi" w:cstheme="majorHAnsi"/>
          <w:b/>
          <w:bCs/>
          <w:sz w:val="24"/>
          <w:szCs w:val="24"/>
          <w:highlight w:val="lightGray"/>
          <w:lang w:eastAsia="pt-BR"/>
        </w:rPr>
        <w:t>6. ALTERAÇÃO OU ATUALIZAÇÃO DOS PREÇOS REGISTRADOS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 Os preços registrados poderão ser alterados ou atualizados em decorrência de eventual redução dos preços praticados no mercado ou de fato que eleve o custo dos bens, das obras ou dos serviços registrados, nas seguintes situações: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6.1.2. Em caso de criação, alteração ou extinção de quaisquer tributos ou encargos legais ou a superveniência de disposições legais, com comprovada repercussão sobre os preços registrados;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6.1.3. Na hipótese de previsão no edital de cláusula de reajustamento ou repactuação sobre os preços registrados, nos termos da Lei nº 14.133, de 2021.</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6.1.3.1. No caso do reajustamento, deverá ser respeitada a contagem da anualidade e o índice previstos para a contratação;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6.1.3.2. No caso da repactuação, poderá ser a pedido do interessado, conforme critérios definidos para a contratação.</w:t>
      </w:r>
    </w:p>
    <w:p w:rsidR="00600D6F" w:rsidRPr="00600D6F" w:rsidRDefault="00600D6F" w:rsidP="00600D6F">
      <w:pPr>
        <w:jc w:val="both"/>
        <w:rPr>
          <w:rFonts w:asciiTheme="majorHAnsi" w:hAnsiTheme="majorHAnsi" w:cstheme="majorHAnsi"/>
          <w:sz w:val="24"/>
          <w:szCs w:val="24"/>
        </w:rPr>
      </w:pP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600D6F">
        <w:rPr>
          <w:rFonts w:asciiTheme="majorHAnsi" w:eastAsia="Times New Roman" w:hAnsiTheme="majorHAnsi" w:cstheme="majorHAnsi"/>
          <w:b/>
          <w:bCs/>
          <w:sz w:val="24"/>
          <w:szCs w:val="24"/>
          <w:highlight w:val="lightGray"/>
          <w:lang w:eastAsia="pt-BR"/>
        </w:rPr>
        <w:t>7. NEGOCIAÇÃO DOS PREÇOS REGISTRADOS</w:t>
      </w:r>
    </w:p>
    <w:p w:rsidR="001D4AB5"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7.1. Na hipótese de o preço registrado tornar-se superior ao preço praticado no mercado por motivo superveniente, o órgão ou entidade gerenciadora convocará o fornecedor para negociar a redução do preço registrado.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7.1.1. Caso não aceite reduzir seu preço aos valores praticados pelo mercado, o fornecedor será liberado do compromisso assumido quanto ao item registrado, sem aplicação de penalidades administrativas.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7.1.2. Na hipótese prevista no item anterior, o gerenciador convocará os fornecedores do cadastro de reserva, na ordem de classificação, para verificar se aceitam reduzir seus preços aos valores de mercado e não convocará os licitantes que tiveram seu registro cancelado.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7.1.3. Se não obtiver êxito nas negociações, o órgão ou entidade gerenciadora procederá ao cancelamento da ata de registro de preços, adotando as medidas cabíveis para obtenção de contratação mais vantajosa.</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7.2. Na hipótese de o preço de mercado tornar-se superior ao preço registrado e o fornecedor não puder cumprir as obrigações estabelecidas na ata, será facultado ao fornecedor requerer ao gerenciador a alteração do preço registrado, mediante comprovação de fato superveniente que supostamente o impossibilite de cumprir o compromisso.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 xml:space="preserve">7.2.1. Neste caso, o fornecedor encaminhará, juntamente com o pedido de alteração, a documentação comprobatória ou </w:t>
      </w:r>
      <w:r w:rsidR="001523D0" w:rsidRPr="00600D6F">
        <w:rPr>
          <w:rFonts w:asciiTheme="majorHAnsi" w:hAnsiTheme="majorHAnsi" w:cstheme="majorHAnsi"/>
          <w:sz w:val="24"/>
          <w:szCs w:val="24"/>
        </w:rPr>
        <w:t>à</w:t>
      </w:r>
      <w:bookmarkStart w:id="0" w:name="_GoBack"/>
      <w:bookmarkEnd w:id="0"/>
      <w:r w:rsidRPr="00600D6F">
        <w:rPr>
          <w:rFonts w:asciiTheme="majorHAnsi" w:hAnsiTheme="majorHAnsi" w:cstheme="majorHAnsi"/>
          <w:sz w:val="24"/>
          <w:szCs w:val="24"/>
        </w:rPr>
        <w:t xml:space="preserve"> planilha de custos que demonstre a inviabilidade do preço registrado em relação às condições inicialmente pactuadas.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7.2.2.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8, sem prejuízo das sanções previstas na Lei nº 14.133, de 2021, e na legislação aplicável.</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7.2.4. Se não obtiver êxito nas negociações, o órgão ou entidade gerenciadora procederá ao cancelamento da ata de registro de preços, nos termos do item 8, e adotará as medidas cabíveis para a obtenção da contratação mais vantajosa.</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7.2.5. Na hipótese de comprovação da majoração do preço de mercado que inviabilize o preço registrado, conforme previsto no item 6, o órgão ou entidade gerenciadora atualizará o preço registrado, de acordo com a realidade dos valores praticados pelo mercado.</w:t>
      </w:r>
    </w:p>
    <w:p w:rsidR="00600D6F" w:rsidRPr="00600D6F" w:rsidRDefault="00600D6F" w:rsidP="00600D6F">
      <w:pPr>
        <w:jc w:val="both"/>
        <w:rPr>
          <w:rFonts w:asciiTheme="majorHAnsi" w:hAnsiTheme="majorHAnsi" w:cstheme="majorHAnsi"/>
          <w:sz w:val="24"/>
          <w:szCs w:val="24"/>
        </w:rPr>
      </w:pPr>
    </w:p>
    <w:p w:rsidR="00600D6F" w:rsidRPr="00600D6F" w:rsidRDefault="00600D6F" w:rsidP="00600D6F">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600D6F">
        <w:rPr>
          <w:rFonts w:asciiTheme="majorHAnsi" w:eastAsia="Times New Roman" w:hAnsiTheme="majorHAnsi" w:cstheme="majorHAnsi"/>
          <w:b/>
          <w:bCs/>
          <w:sz w:val="24"/>
          <w:szCs w:val="24"/>
          <w:highlight w:val="lightGray"/>
          <w:lang w:eastAsia="pt-BR"/>
        </w:rPr>
        <w:t>8. CANCELAMENTO DO REGISTRO DO LICITANTE VENCEDOR E DOS PREÇOS REGISTRADOS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 O registro do fornecedor será cancelado pelo gerenciador, quando o fornecedor:</w:t>
      </w:r>
    </w:p>
    <w:p w:rsid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8.1.1. Descumprir as condições da ata de registro de preços, sem motivo justificado.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8.1.2. Não retirar a nota de empenho, ou instrumento equivalente, no prazo estabelecido pela Administração sem justificativa razoável;</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8.1.3. Não aceitar manter seu preço registrado, na hipótese prevista no artigo 27, §2º, do Decreto nº 11.462, de 2023; ou</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8.1.4. Sofrer sanção prevista nos incisos III ou IV do caput do art. 156 da Lei nº 14.133, de 2021.</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8.1.4.1. 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8.2. O cancelamento de registros nas hipóteses previstas no item 6 será formalizado por despacho do órgão ou da entidade gerenciadora, garantidos os princípios do contraditório e da ampla defesa.</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8.3. Na hipótese de cancelamento do registro do fornecedor, o órgão ou a entidade gerenciadora poderá convocar os licitantes que compõem o cadastro de reserva, observada a ordem de classificação.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8.4. O cancelamento dos preços registrados poderá ser realizado pelo gerenciador, em determinada ata de registro de preços, total ou parcialmente, nas seguintes hipóteses, desde que devidamente comprovadas e justificadas: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8.4.1. Por razão de interesse público;</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8.4.2. A pedido do fornecedor, decorrente de caso fortuito ou força maior; ou</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8.4.3. Se não houver êxito nas negociações, nas hipóteses em que o preço de mercado se tornar superior ou inferior ao preço registrado, nos termos dos artigos 26, §3º e 27, §4º, ambos do Decreto nº 11.462, de 2023.</w:t>
      </w:r>
    </w:p>
    <w:p w:rsidR="00600D6F" w:rsidRPr="001F39FD" w:rsidRDefault="00600D6F" w:rsidP="001F39FD">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1F39FD">
        <w:rPr>
          <w:rFonts w:asciiTheme="majorHAnsi" w:eastAsia="Times New Roman" w:hAnsiTheme="majorHAnsi" w:cstheme="majorHAnsi"/>
          <w:b/>
          <w:bCs/>
          <w:sz w:val="24"/>
          <w:szCs w:val="24"/>
          <w:highlight w:val="lightGray"/>
          <w:lang w:eastAsia="pt-BR"/>
        </w:rPr>
        <w:t>9. PENALIDADES</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9.1. O descumprimento da Ata de Registro de Preços ensejará aplicação das penalidades estabelecidas no edital.</w:t>
      </w:r>
    </w:p>
    <w:p w:rsidR="00600D6F" w:rsidRP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9.1.1. As sanções também se aplicam aos integrantes do cadastro de reserva no registro de preços que, convocados, não honrarem o compromisso assumido injustificadamente após terem assinado a ata.</w:t>
      </w:r>
    </w:p>
    <w:p w:rsidR="00600D6F" w:rsidRDefault="00600D6F" w:rsidP="00600D6F">
      <w:pPr>
        <w:jc w:val="both"/>
        <w:rPr>
          <w:rFonts w:asciiTheme="majorHAnsi" w:hAnsiTheme="majorHAnsi" w:cstheme="majorHAnsi"/>
          <w:sz w:val="24"/>
          <w:szCs w:val="24"/>
        </w:rPr>
      </w:pPr>
      <w:r w:rsidRPr="00600D6F">
        <w:rPr>
          <w:rFonts w:asciiTheme="majorHAnsi" w:hAnsiTheme="majorHAnsi" w:cstheme="majorHAnsi"/>
          <w:sz w:val="24"/>
          <w:szCs w:val="24"/>
        </w:rPr>
        <w:t xml:space="preserve">9.2. É da competência do gerenciador a aplicação das penalidades decorrentes do descumprimento do pactuado nesta ata de registro de preços (art. 7, inc. XIV, do Decreto nº 11.462, de 2023), exceto nas hipóteses em que o descumprimento </w:t>
      </w:r>
      <w:r w:rsidR="001F39FD">
        <w:rPr>
          <w:rFonts w:asciiTheme="majorHAnsi" w:hAnsiTheme="majorHAnsi" w:cstheme="majorHAnsi"/>
          <w:sz w:val="24"/>
          <w:szCs w:val="24"/>
        </w:rPr>
        <w:t xml:space="preserve">disser respeito às contratações </w:t>
      </w:r>
      <w:r w:rsidR="001F39FD" w:rsidRPr="001F39FD">
        <w:rPr>
          <w:rFonts w:asciiTheme="majorHAnsi" w:hAnsiTheme="majorHAnsi" w:cstheme="majorHAnsi"/>
          <w:sz w:val="24"/>
          <w:szCs w:val="24"/>
        </w:rPr>
        <w:t>dos órgãos ou entidade participante, caso no qual caberá ao respectivo órgão participante a aplicação da penalidade (art. 8º, inc. IX, do Decreto nº 11.462, de 2023).</w:t>
      </w:r>
    </w:p>
    <w:p w:rsidR="001F39FD" w:rsidRDefault="001F39FD" w:rsidP="00600D6F">
      <w:pPr>
        <w:jc w:val="both"/>
        <w:rPr>
          <w:rFonts w:asciiTheme="majorHAnsi" w:hAnsiTheme="majorHAnsi" w:cstheme="majorHAnsi"/>
          <w:sz w:val="24"/>
          <w:szCs w:val="24"/>
        </w:rPr>
      </w:pPr>
    </w:p>
    <w:p w:rsidR="001F39FD" w:rsidRPr="001F39FD" w:rsidRDefault="001F39FD" w:rsidP="001F39FD">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1F39FD">
        <w:rPr>
          <w:rFonts w:asciiTheme="majorHAnsi" w:eastAsia="Times New Roman" w:hAnsiTheme="majorHAnsi" w:cstheme="majorHAnsi"/>
          <w:b/>
          <w:bCs/>
          <w:sz w:val="24"/>
          <w:szCs w:val="24"/>
          <w:highlight w:val="lightGray"/>
          <w:lang w:eastAsia="pt-BR"/>
        </w:rPr>
        <w:t>10. LEGISLAÇÃO APLICÁVEL</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10.1. Esta ata e as contratações dela decorrentes se regem pelas disposições expressas na Lei Federal nº 14.133/21 e da legislação correlata e por outras normas de direito público ou privado que melhor tutelam o interesse público.</w:t>
      </w:r>
    </w:p>
    <w:p w:rsidR="001F39FD" w:rsidRPr="001F39FD" w:rsidRDefault="001F39FD" w:rsidP="001F39FD">
      <w:pPr>
        <w:jc w:val="both"/>
        <w:rPr>
          <w:rFonts w:asciiTheme="majorHAnsi" w:hAnsiTheme="majorHAnsi" w:cstheme="majorHAnsi"/>
          <w:sz w:val="24"/>
          <w:szCs w:val="24"/>
        </w:rPr>
      </w:pPr>
    </w:p>
    <w:p w:rsidR="001F39FD" w:rsidRPr="001F39FD" w:rsidRDefault="001F39FD" w:rsidP="001F39FD">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1F39FD">
        <w:rPr>
          <w:rFonts w:asciiTheme="majorHAnsi" w:eastAsia="Times New Roman" w:hAnsiTheme="majorHAnsi" w:cstheme="majorHAnsi"/>
          <w:b/>
          <w:bCs/>
          <w:sz w:val="24"/>
          <w:szCs w:val="24"/>
          <w:highlight w:val="lightGray"/>
          <w:lang w:eastAsia="pt-BR"/>
        </w:rPr>
        <w:t>11. DAS CONDIÇÕES GERAIS</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11.1. As condições gerais de execução do objeto, tais como os prazos para entrega e recebimento, as obrigações da Administração e do fornecedor registrado, penalidades e demais condições do ajuste, encontram-se definidas no Termo de Referência, ANEXO AO EDITAL.</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 xml:space="preserve">11.2. Extrato desta ata será publicado no Diário Eletrônico da Prefeitura Municipal de </w:t>
      </w:r>
      <w:r w:rsidR="001523D0">
        <w:rPr>
          <w:rFonts w:asciiTheme="majorHAnsi" w:hAnsiTheme="majorHAnsi" w:cstheme="majorHAnsi"/>
          <w:sz w:val="24"/>
          <w:szCs w:val="24"/>
        </w:rPr>
        <w:t>Paulo Frontin</w:t>
      </w:r>
      <w:r w:rsidRPr="001F39FD">
        <w:rPr>
          <w:rFonts w:asciiTheme="majorHAnsi" w:hAnsiTheme="majorHAnsi" w:cstheme="majorHAnsi"/>
          <w:sz w:val="24"/>
          <w:szCs w:val="24"/>
        </w:rPr>
        <w:t>.</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11.3. Em virtude da indispensabilidade da divulgação dos dados constantes nos documentos de habilitação, da proposta de preço e dos contratos, conforme Lei nº 12.527/11 (Lei de Acesso à Informação – LAI) e a Lei nº 13.709/18 (Lei Geral de Proteção de Dados Pessoais – LGPD), o licitante desde já dá ciência e consentimento para a sua divulgação.</w:t>
      </w:r>
    </w:p>
    <w:p w:rsidR="001F39FD" w:rsidRPr="001F39FD" w:rsidRDefault="001F39FD" w:rsidP="001F39FD">
      <w:pPr>
        <w:spacing w:before="100" w:beforeAutospacing="1" w:after="100" w:afterAutospacing="1" w:line="240" w:lineRule="auto"/>
        <w:jc w:val="both"/>
        <w:rPr>
          <w:rFonts w:asciiTheme="majorHAnsi" w:eastAsia="Times New Roman" w:hAnsiTheme="majorHAnsi" w:cstheme="majorHAnsi"/>
          <w:b/>
          <w:bCs/>
          <w:sz w:val="24"/>
          <w:szCs w:val="24"/>
          <w:highlight w:val="lightGray"/>
          <w:lang w:eastAsia="pt-BR"/>
        </w:rPr>
      </w:pPr>
      <w:r w:rsidRPr="001F39FD">
        <w:rPr>
          <w:rFonts w:asciiTheme="majorHAnsi" w:eastAsia="Times New Roman" w:hAnsiTheme="majorHAnsi" w:cstheme="majorHAnsi"/>
          <w:b/>
          <w:bCs/>
          <w:sz w:val="24"/>
          <w:szCs w:val="24"/>
          <w:highlight w:val="lightGray"/>
          <w:lang w:eastAsia="pt-BR"/>
        </w:rPr>
        <w:t>12. DO FORO</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 xml:space="preserve">12.1. Fica eleito o Foro da Comarca de </w:t>
      </w:r>
      <w:r>
        <w:rPr>
          <w:rFonts w:asciiTheme="majorHAnsi" w:hAnsiTheme="majorHAnsi" w:cstheme="majorHAnsi"/>
          <w:sz w:val="24"/>
          <w:szCs w:val="24"/>
        </w:rPr>
        <w:t>Mallet/PR</w:t>
      </w:r>
      <w:r w:rsidRPr="001F39FD">
        <w:rPr>
          <w:rFonts w:asciiTheme="majorHAnsi" w:hAnsiTheme="majorHAnsi" w:cstheme="majorHAnsi"/>
          <w:sz w:val="24"/>
          <w:szCs w:val="24"/>
        </w:rPr>
        <w:t>, para solucionar eventuais litígios decorrentes desta ata e contratações decorrentes.</w:t>
      </w:r>
    </w:p>
    <w:p w:rsidR="001F39FD" w:rsidRP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12.2. As partes firmam a presente ata na presença de duas testemunhas.</w:t>
      </w:r>
    </w:p>
    <w:p w:rsidR="001F39FD" w:rsidRPr="001F39FD" w:rsidRDefault="001F39FD" w:rsidP="001F39FD">
      <w:pPr>
        <w:jc w:val="both"/>
        <w:rPr>
          <w:rFonts w:asciiTheme="majorHAnsi" w:hAnsiTheme="majorHAnsi" w:cstheme="majorHAnsi"/>
          <w:sz w:val="24"/>
          <w:szCs w:val="24"/>
        </w:rPr>
      </w:pPr>
    </w:p>
    <w:p w:rsidR="001F39FD" w:rsidRPr="001F39FD" w:rsidRDefault="001F39FD" w:rsidP="001F39FD">
      <w:pPr>
        <w:jc w:val="right"/>
        <w:rPr>
          <w:rFonts w:asciiTheme="majorHAnsi" w:hAnsiTheme="majorHAnsi" w:cstheme="majorHAnsi"/>
          <w:sz w:val="24"/>
          <w:szCs w:val="24"/>
        </w:rPr>
      </w:pPr>
      <w:r>
        <w:rPr>
          <w:rFonts w:asciiTheme="majorHAnsi" w:hAnsiTheme="majorHAnsi" w:cstheme="majorHAnsi"/>
          <w:sz w:val="24"/>
          <w:szCs w:val="24"/>
        </w:rPr>
        <w:t>Paulo Frontin</w:t>
      </w:r>
      <w:r w:rsidRPr="001F39FD">
        <w:rPr>
          <w:rFonts w:asciiTheme="majorHAnsi" w:hAnsiTheme="majorHAnsi" w:cstheme="majorHAnsi"/>
          <w:sz w:val="24"/>
          <w:szCs w:val="24"/>
        </w:rPr>
        <w:t>/PR, ____ de ______________ de 20__</w:t>
      </w:r>
    </w:p>
    <w:p w:rsidR="001F39FD" w:rsidRDefault="001F39FD" w:rsidP="001F39FD">
      <w:pPr>
        <w:jc w:val="both"/>
        <w:rPr>
          <w:rFonts w:asciiTheme="majorHAnsi" w:hAnsiTheme="majorHAnsi" w:cstheme="majorHAnsi"/>
          <w:sz w:val="24"/>
          <w:szCs w:val="24"/>
        </w:rPr>
      </w:pPr>
    </w:p>
    <w:p w:rsidR="001F39FD" w:rsidRDefault="001F39FD" w:rsidP="001F39FD">
      <w:pPr>
        <w:jc w:val="both"/>
        <w:rPr>
          <w:rFonts w:asciiTheme="majorHAnsi" w:hAnsiTheme="majorHAnsi" w:cstheme="majorHAns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1F39FD" w:rsidTr="001F39FD">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FORNECEDOR REGISTRADO</w:t>
            </w:r>
          </w:p>
        </w:tc>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ÓRGÃO GERENCIADOR</w:t>
            </w:r>
          </w:p>
        </w:tc>
      </w:tr>
      <w:tr w:rsidR="001F39FD" w:rsidTr="001F39FD">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Representante Legal</w:t>
            </w:r>
          </w:p>
        </w:tc>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Ireneu Zacharias</w:t>
            </w:r>
          </w:p>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Prefeito</w:t>
            </w:r>
          </w:p>
        </w:tc>
      </w:tr>
    </w:tbl>
    <w:p w:rsidR="001F39FD" w:rsidRPr="001F39FD" w:rsidRDefault="001F39FD" w:rsidP="001F39FD">
      <w:pPr>
        <w:jc w:val="both"/>
        <w:rPr>
          <w:rFonts w:asciiTheme="majorHAnsi" w:hAnsiTheme="majorHAnsi" w:cstheme="majorHAnsi"/>
          <w:sz w:val="24"/>
          <w:szCs w:val="24"/>
        </w:rPr>
      </w:pPr>
    </w:p>
    <w:p w:rsidR="001F39FD" w:rsidRDefault="001F39FD" w:rsidP="001F39FD">
      <w:pPr>
        <w:jc w:val="both"/>
        <w:rPr>
          <w:rFonts w:asciiTheme="majorHAnsi" w:hAnsiTheme="majorHAnsi" w:cstheme="majorHAnsi"/>
          <w:sz w:val="24"/>
          <w:szCs w:val="24"/>
        </w:rPr>
      </w:pPr>
      <w:r w:rsidRPr="001F39FD">
        <w:rPr>
          <w:rFonts w:asciiTheme="majorHAnsi" w:hAnsiTheme="majorHAnsi" w:cstheme="majorHAnsi"/>
          <w:sz w:val="24"/>
          <w:szCs w:val="24"/>
        </w:rPr>
        <w:t>Testemunhas:</w:t>
      </w:r>
    </w:p>
    <w:p w:rsidR="001F39FD" w:rsidRDefault="001F39FD" w:rsidP="001F39FD">
      <w:pPr>
        <w:jc w:val="both"/>
        <w:rPr>
          <w:rFonts w:asciiTheme="majorHAnsi" w:hAnsiTheme="majorHAnsi" w:cstheme="majorHAnsi"/>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1F39FD" w:rsidTr="001F39FD">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1ª Assinatura</w:t>
            </w:r>
          </w:p>
        </w:tc>
        <w:tc>
          <w:tcPr>
            <w:tcW w:w="4390" w:type="dxa"/>
          </w:tcPr>
          <w:p w:rsidR="001F39FD" w:rsidRPr="001F39FD" w:rsidRDefault="001F39FD" w:rsidP="001F39FD">
            <w:pPr>
              <w:jc w:val="center"/>
              <w:rPr>
                <w:rFonts w:asciiTheme="majorHAnsi" w:hAnsiTheme="majorHAnsi" w:cstheme="majorHAnsi"/>
                <w:b/>
                <w:sz w:val="24"/>
                <w:szCs w:val="24"/>
              </w:rPr>
            </w:pPr>
            <w:r w:rsidRPr="001F39FD">
              <w:rPr>
                <w:rFonts w:asciiTheme="majorHAnsi" w:hAnsiTheme="majorHAnsi" w:cstheme="majorHAnsi"/>
                <w:b/>
                <w:sz w:val="24"/>
                <w:szCs w:val="24"/>
              </w:rPr>
              <w:t>2ª Assinatura</w:t>
            </w:r>
          </w:p>
        </w:tc>
      </w:tr>
    </w:tbl>
    <w:p w:rsidR="001F39FD" w:rsidRPr="001F39FD" w:rsidRDefault="001F39FD" w:rsidP="001F39FD">
      <w:pPr>
        <w:jc w:val="both"/>
        <w:rPr>
          <w:rFonts w:asciiTheme="majorHAnsi" w:hAnsiTheme="majorHAnsi" w:cstheme="majorHAnsi"/>
          <w:sz w:val="24"/>
          <w:szCs w:val="24"/>
        </w:rPr>
      </w:pPr>
    </w:p>
    <w:p w:rsidR="001F39FD" w:rsidRPr="0045684C" w:rsidRDefault="001F39FD" w:rsidP="00600D6F">
      <w:pPr>
        <w:jc w:val="both"/>
        <w:rPr>
          <w:rFonts w:asciiTheme="majorHAnsi" w:hAnsiTheme="majorHAnsi" w:cstheme="majorHAnsi"/>
          <w:sz w:val="24"/>
          <w:szCs w:val="24"/>
        </w:rPr>
      </w:pPr>
    </w:p>
    <w:sectPr w:rsidR="001F39FD" w:rsidRPr="0045684C" w:rsidSect="00025FFD">
      <w:headerReference w:type="default" r:id="rId8"/>
      <w:footerReference w:type="default" r:id="rId9"/>
      <w:pgSz w:w="12240" w:h="15840"/>
      <w:pgMar w:top="1701" w:right="1800" w:bottom="1440" w:left="1800" w:header="284" w:footer="5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E1" w:rsidRDefault="007108E1" w:rsidP="00025FFD">
      <w:pPr>
        <w:spacing w:after="0" w:line="240" w:lineRule="auto"/>
      </w:pPr>
      <w:r>
        <w:separator/>
      </w:r>
    </w:p>
  </w:endnote>
  <w:endnote w:type="continuationSeparator" w:id="0">
    <w:p w:rsidR="007108E1" w:rsidRDefault="007108E1" w:rsidP="0002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553855"/>
      <w:docPartObj>
        <w:docPartGallery w:val="Page Numbers (Bottom of Page)"/>
        <w:docPartUnique/>
      </w:docPartObj>
    </w:sdtPr>
    <w:sdtEndPr/>
    <w:sdtContent>
      <w:sdt>
        <w:sdtPr>
          <w:id w:val="1411740638"/>
          <w:docPartObj>
            <w:docPartGallery w:val="Page Numbers (Top of Page)"/>
            <w:docPartUnique/>
          </w:docPartObj>
        </w:sdtPr>
        <w:sdtEndPr/>
        <w:sdtContent>
          <w:p w:rsidR="00025FFD" w:rsidRDefault="00025FFD">
            <w:pPr>
              <w:pStyle w:val="Rodap"/>
              <w:jc w:val="right"/>
            </w:pPr>
            <w:r w:rsidRPr="00164160">
              <w:rPr>
                <w:sz w:val="20"/>
                <w:szCs w:val="20"/>
              </w:rPr>
              <w:t xml:space="preserve">Página </w:t>
            </w:r>
            <w:r w:rsidRPr="00164160">
              <w:rPr>
                <w:b/>
                <w:bCs/>
                <w:sz w:val="20"/>
                <w:szCs w:val="20"/>
              </w:rPr>
              <w:fldChar w:fldCharType="begin"/>
            </w:r>
            <w:r w:rsidRPr="00164160">
              <w:rPr>
                <w:b/>
                <w:bCs/>
                <w:sz w:val="20"/>
                <w:szCs w:val="20"/>
              </w:rPr>
              <w:instrText>PAGE</w:instrText>
            </w:r>
            <w:r w:rsidRPr="00164160">
              <w:rPr>
                <w:b/>
                <w:bCs/>
                <w:sz w:val="20"/>
                <w:szCs w:val="20"/>
              </w:rPr>
              <w:fldChar w:fldCharType="separate"/>
            </w:r>
            <w:r w:rsidR="001523D0">
              <w:rPr>
                <w:b/>
                <w:bCs/>
                <w:noProof/>
                <w:sz w:val="20"/>
                <w:szCs w:val="20"/>
              </w:rPr>
              <w:t>1</w:t>
            </w:r>
            <w:r w:rsidRPr="00164160">
              <w:rPr>
                <w:b/>
                <w:bCs/>
                <w:sz w:val="20"/>
                <w:szCs w:val="20"/>
              </w:rPr>
              <w:fldChar w:fldCharType="end"/>
            </w:r>
            <w:r w:rsidRPr="00164160">
              <w:rPr>
                <w:sz w:val="20"/>
                <w:szCs w:val="20"/>
              </w:rPr>
              <w:t xml:space="preserve"> de </w:t>
            </w:r>
            <w:r w:rsidRPr="00164160">
              <w:rPr>
                <w:b/>
                <w:bCs/>
                <w:sz w:val="20"/>
                <w:szCs w:val="20"/>
              </w:rPr>
              <w:fldChar w:fldCharType="begin"/>
            </w:r>
            <w:r w:rsidRPr="00164160">
              <w:rPr>
                <w:b/>
                <w:bCs/>
                <w:sz w:val="20"/>
                <w:szCs w:val="20"/>
              </w:rPr>
              <w:instrText>NUMPAGES</w:instrText>
            </w:r>
            <w:r w:rsidRPr="00164160">
              <w:rPr>
                <w:b/>
                <w:bCs/>
                <w:sz w:val="20"/>
                <w:szCs w:val="20"/>
              </w:rPr>
              <w:fldChar w:fldCharType="separate"/>
            </w:r>
            <w:r w:rsidR="001523D0">
              <w:rPr>
                <w:b/>
                <w:bCs/>
                <w:noProof/>
                <w:sz w:val="20"/>
                <w:szCs w:val="20"/>
              </w:rPr>
              <w:t>2</w:t>
            </w:r>
            <w:r w:rsidRPr="00164160">
              <w:rPr>
                <w:b/>
                <w:bCs/>
                <w:sz w:val="20"/>
                <w:szCs w:val="20"/>
              </w:rPr>
              <w:fldChar w:fldCharType="end"/>
            </w:r>
          </w:p>
        </w:sdtContent>
      </w:sdt>
    </w:sdtContent>
  </w:sdt>
  <w:p w:rsidR="00025FFD" w:rsidRDefault="00025FF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E1" w:rsidRDefault="007108E1" w:rsidP="00025FFD">
      <w:pPr>
        <w:spacing w:after="0" w:line="240" w:lineRule="auto"/>
      </w:pPr>
      <w:r>
        <w:separator/>
      </w:r>
    </w:p>
  </w:footnote>
  <w:footnote w:type="continuationSeparator" w:id="0">
    <w:p w:rsidR="007108E1" w:rsidRDefault="007108E1" w:rsidP="00025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FFD" w:rsidRPr="00AD6859" w:rsidRDefault="00025FFD" w:rsidP="00025FFD">
    <w:pPr>
      <w:rPr>
        <w:rFonts w:cs="Arial"/>
        <w:b/>
        <w:color w:val="000000" w:themeColor="text1"/>
        <w:sz w:val="10"/>
        <w:szCs w:val="10"/>
        <w:u w:val="single"/>
      </w:rPr>
    </w:pPr>
    <w:r w:rsidRPr="00AC73C3">
      <w:rPr>
        <w:noProof/>
        <w:lang w:eastAsia="pt-BR"/>
      </w:rPr>
      <w:drawing>
        <wp:anchor distT="0" distB="0" distL="114300" distR="114300" simplePos="0" relativeHeight="251658752" behindDoc="1" locked="0" layoutInCell="1" allowOverlap="1" wp14:anchorId="6BF43635" wp14:editId="12D070E3">
          <wp:simplePos x="0" y="0"/>
          <wp:positionH relativeFrom="margin">
            <wp:posOffset>-742950</wp:posOffset>
          </wp:positionH>
          <wp:positionV relativeFrom="paragraph">
            <wp:posOffset>-180340</wp:posOffset>
          </wp:positionV>
          <wp:extent cx="990600" cy="963295"/>
          <wp:effectExtent l="0" t="0" r="0" b="8255"/>
          <wp:wrapTight wrapText="bothSides">
            <wp:wrapPolygon edited="0">
              <wp:start x="0" y="0"/>
              <wp:lineTo x="0" y="21358"/>
              <wp:lineTo x="21185" y="21358"/>
              <wp:lineTo x="21185" y="0"/>
              <wp:lineTo x="0" y="0"/>
            </wp:wrapPolygon>
          </wp:wrapTight>
          <wp:docPr id="452027073" name="Imagem 45202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632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5FFD" w:rsidRPr="00AD6859" w:rsidRDefault="00025FFD" w:rsidP="00025FFD">
    <w:pPr>
      <w:pStyle w:val="Cabealho"/>
      <w:jc w:val="center"/>
      <w:rPr>
        <w:rFonts w:cs="Arial"/>
        <w:b/>
        <w:color w:val="000000" w:themeColor="text1"/>
        <w:sz w:val="44"/>
        <w:szCs w:val="32"/>
        <w:u w:val="single"/>
      </w:rPr>
    </w:pPr>
    <w:r w:rsidRPr="00AD6859">
      <w:rPr>
        <w:rFonts w:cs="Arial"/>
        <w:b/>
        <w:color w:val="000000" w:themeColor="text1"/>
        <w:sz w:val="44"/>
        <w:szCs w:val="32"/>
        <w:u w:val="single"/>
      </w:rPr>
      <w:t>MUNICÍPIO DE PAULO FRONTIN</w:t>
    </w:r>
  </w:p>
  <w:p w:rsidR="00025FFD" w:rsidRPr="00AD6859" w:rsidRDefault="00025FFD" w:rsidP="00025FFD">
    <w:pPr>
      <w:pStyle w:val="Cabealho"/>
      <w:jc w:val="center"/>
      <w:rPr>
        <w:rFonts w:cs="Arial"/>
        <w:color w:val="000000" w:themeColor="text1"/>
      </w:rPr>
    </w:pPr>
    <w:r w:rsidRPr="00AD6859">
      <w:rPr>
        <w:rFonts w:cs="Arial"/>
        <w:color w:val="000000" w:themeColor="text1"/>
      </w:rPr>
      <w:t xml:space="preserve">CNPJ: 77.007.474/0001-90 - </w:t>
    </w:r>
    <w:hyperlink r:id="rId2" w:history="1">
      <w:r w:rsidRPr="00AD6859">
        <w:rPr>
          <w:rStyle w:val="Hyperlink"/>
          <w:rFonts w:cs="Arial"/>
        </w:rPr>
        <w:t>www.paulofrontin.pr.gov.br</w:t>
      </w:r>
    </w:hyperlink>
  </w:p>
  <w:p w:rsidR="00025FFD" w:rsidRDefault="00025F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25FFD"/>
    <w:rsid w:val="00034616"/>
    <w:rsid w:val="00040D41"/>
    <w:rsid w:val="0004385A"/>
    <w:rsid w:val="0006063C"/>
    <w:rsid w:val="0015074B"/>
    <w:rsid w:val="001523D0"/>
    <w:rsid w:val="00164160"/>
    <w:rsid w:val="001D4AB5"/>
    <w:rsid w:val="001F39FD"/>
    <w:rsid w:val="002041E5"/>
    <w:rsid w:val="00287A1B"/>
    <w:rsid w:val="0029639D"/>
    <w:rsid w:val="002A5E5C"/>
    <w:rsid w:val="00326F90"/>
    <w:rsid w:val="0045684C"/>
    <w:rsid w:val="005706FA"/>
    <w:rsid w:val="00600D6F"/>
    <w:rsid w:val="006C3A81"/>
    <w:rsid w:val="007108E1"/>
    <w:rsid w:val="009B5CD1"/>
    <w:rsid w:val="009E3829"/>
    <w:rsid w:val="00AA1D8D"/>
    <w:rsid w:val="00B36CCF"/>
    <w:rsid w:val="00B47730"/>
    <w:rsid w:val="00BD5A2F"/>
    <w:rsid w:val="00CB0664"/>
    <w:rsid w:val="00D00C66"/>
    <w:rsid w:val="00D40FC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6C0031F6-ED55-4AA9-8970-84A6F70E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rPr>
      <w:lang w:val="pt-BR"/>
    </w:rPr>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Fontepargpadro"/>
    <w:uiPriority w:val="99"/>
    <w:unhideWhenUsed/>
    <w:rsid w:val="00025FFD"/>
    <w:rPr>
      <w:color w:val="0000FF" w:themeColor="hyperlink"/>
      <w:u w:val="single"/>
    </w:rPr>
  </w:style>
  <w:style w:type="paragraph" w:styleId="NormalWeb">
    <w:name w:val="Normal (Web)"/>
    <w:basedOn w:val="Normal"/>
    <w:uiPriority w:val="99"/>
    <w:unhideWhenUsed/>
    <w:rsid w:val="0045684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80796">
      <w:bodyDiv w:val="1"/>
      <w:marLeft w:val="0"/>
      <w:marRight w:val="0"/>
      <w:marTop w:val="0"/>
      <w:marBottom w:val="0"/>
      <w:divBdr>
        <w:top w:val="none" w:sz="0" w:space="0" w:color="auto"/>
        <w:left w:val="none" w:sz="0" w:space="0" w:color="auto"/>
        <w:bottom w:val="none" w:sz="0" w:space="0" w:color="auto"/>
        <w:right w:val="none" w:sz="0" w:space="0" w:color="auto"/>
      </w:divBdr>
    </w:div>
    <w:div w:id="514077001">
      <w:bodyDiv w:val="1"/>
      <w:marLeft w:val="0"/>
      <w:marRight w:val="0"/>
      <w:marTop w:val="0"/>
      <w:marBottom w:val="0"/>
      <w:divBdr>
        <w:top w:val="none" w:sz="0" w:space="0" w:color="auto"/>
        <w:left w:val="none" w:sz="0" w:space="0" w:color="auto"/>
        <w:bottom w:val="none" w:sz="0" w:space="0" w:color="auto"/>
        <w:right w:val="none" w:sz="0" w:space="0" w:color="auto"/>
      </w:divBdr>
    </w:div>
    <w:div w:id="1261832822">
      <w:bodyDiv w:val="1"/>
      <w:marLeft w:val="0"/>
      <w:marRight w:val="0"/>
      <w:marTop w:val="0"/>
      <w:marBottom w:val="0"/>
      <w:divBdr>
        <w:top w:val="none" w:sz="0" w:space="0" w:color="auto"/>
        <w:left w:val="none" w:sz="0" w:space="0" w:color="auto"/>
        <w:bottom w:val="none" w:sz="0" w:space="0" w:color="auto"/>
        <w:right w:val="none" w:sz="0" w:space="0" w:color="auto"/>
      </w:divBdr>
    </w:div>
    <w:div w:id="1796488437">
      <w:bodyDiv w:val="1"/>
      <w:marLeft w:val="0"/>
      <w:marRight w:val="0"/>
      <w:marTop w:val="0"/>
      <w:marBottom w:val="0"/>
      <w:divBdr>
        <w:top w:val="none" w:sz="0" w:space="0" w:color="auto"/>
        <w:left w:val="none" w:sz="0" w:space="0" w:color="auto"/>
        <w:bottom w:val="none" w:sz="0" w:space="0" w:color="auto"/>
        <w:right w:val="none" w:sz="0" w:space="0" w:color="auto"/>
      </w:divBdr>
    </w:div>
    <w:div w:id="1864249701">
      <w:bodyDiv w:val="1"/>
      <w:marLeft w:val="0"/>
      <w:marRight w:val="0"/>
      <w:marTop w:val="0"/>
      <w:marBottom w:val="0"/>
      <w:divBdr>
        <w:top w:val="none" w:sz="0" w:space="0" w:color="auto"/>
        <w:left w:val="none" w:sz="0" w:space="0" w:color="auto"/>
        <w:bottom w:val="none" w:sz="0" w:space="0" w:color="auto"/>
        <w:right w:val="none" w:sz="0" w:space="0" w:color="auto"/>
      </w:divBdr>
    </w:div>
    <w:div w:id="2028171642">
      <w:bodyDiv w:val="1"/>
      <w:marLeft w:val="0"/>
      <w:marRight w:val="0"/>
      <w:marTop w:val="0"/>
      <w:marBottom w:val="0"/>
      <w:divBdr>
        <w:top w:val="none" w:sz="0" w:space="0" w:color="auto"/>
        <w:left w:val="none" w:sz="0" w:space="0" w:color="auto"/>
        <w:bottom w:val="none" w:sz="0" w:space="0" w:color="auto"/>
        <w:right w:val="none" w:sz="0" w:space="0" w:color="auto"/>
      </w:divBdr>
    </w:div>
    <w:div w:id="2139906000">
      <w:bodyDiv w:val="1"/>
      <w:marLeft w:val="0"/>
      <w:marRight w:val="0"/>
      <w:marTop w:val="0"/>
      <w:marBottom w:val="0"/>
      <w:divBdr>
        <w:top w:val="none" w:sz="0" w:space="0" w:color="auto"/>
        <w:left w:val="none" w:sz="0" w:space="0" w:color="auto"/>
        <w:bottom w:val="none" w:sz="0" w:space="0" w:color="auto"/>
        <w:right w:val="none" w:sz="0" w:space="0" w:color="auto"/>
      </w:divBdr>
      <w:divsChild>
        <w:div w:id="1128010583">
          <w:marLeft w:val="0"/>
          <w:marRight w:val="0"/>
          <w:marTop w:val="0"/>
          <w:marBottom w:val="0"/>
          <w:divBdr>
            <w:top w:val="none" w:sz="0" w:space="0" w:color="auto"/>
            <w:left w:val="none" w:sz="0" w:space="0" w:color="auto"/>
            <w:bottom w:val="none" w:sz="0" w:space="0" w:color="auto"/>
            <w:right w:val="none" w:sz="0" w:space="0" w:color="auto"/>
          </w:divBdr>
          <w:divsChild>
            <w:div w:id="1673023769">
              <w:marLeft w:val="0"/>
              <w:marRight w:val="0"/>
              <w:marTop w:val="0"/>
              <w:marBottom w:val="0"/>
              <w:divBdr>
                <w:top w:val="none" w:sz="0" w:space="0" w:color="auto"/>
                <w:left w:val="none" w:sz="0" w:space="0" w:color="auto"/>
                <w:bottom w:val="none" w:sz="0" w:space="0" w:color="auto"/>
                <w:right w:val="none" w:sz="0" w:space="0" w:color="auto"/>
              </w:divBdr>
              <w:divsChild>
                <w:div w:id="1778913600">
                  <w:marLeft w:val="0"/>
                  <w:marRight w:val="0"/>
                  <w:marTop w:val="0"/>
                  <w:marBottom w:val="0"/>
                  <w:divBdr>
                    <w:top w:val="none" w:sz="0" w:space="0" w:color="auto"/>
                    <w:left w:val="none" w:sz="0" w:space="0" w:color="auto"/>
                    <w:bottom w:val="none" w:sz="0" w:space="0" w:color="auto"/>
                    <w:right w:val="none" w:sz="0" w:space="0" w:color="auto"/>
                  </w:divBdr>
                  <w:divsChild>
                    <w:div w:id="1137532116">
                      <w:marLeft w:val="0"/>
                      <w:marRight w:val="0"/>
                      <w:marTop w:val="0"/>
                      <w:marBottom w:val="0"/>
                      <w:divBdr>
                        <w:top w:val="none" w:sz="0" w:space="0" w:color="auto"/>
                        <w:left w:val="none" w:sz="0" w:space="0" w:color="auto"/>
                        <w:bottom w:val="none" w:sz="0" w:space="0" w:color="auto"/>
                        <w:right w:val="none" w:sz="0" w:space="0" w:color="auto"/>
                      </w:divBdr>
                      <w:divsChild>
                        <w:div w:id="314798283">
                          <w:marLeft w:val="0"/>
                          <w:marRight w:val="0"/>
                          <w:marTop w:val="0"/>
                          <w:marBottom w:val="0"/>
                          <w:divBdr>
                            <w:top w:val="none" w:sz="0" w:space="0" w:color="auto"/>
                            <w:left w:val="none" w:sz="0" w:space="0" w:color="auto"/>
                            <w:bottom w:val="none" w:sz="0" w:space="0" w:color="auto"/>
                            <w:right w:val="none" w:sz="0" w:space="0" w:color="auto"/>
                          </w:divBdr>
                          <w:divsChild>
                            <w:div w:id="14357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9512">
                      <w:marLeft w:val="0"/>
                      <w:marRight w:val="0"/>
                      <w:marTop w:val="0"/>
                      <w:marBottom w:val="0"/>
                      <w:divBdr>
                        <w:top w:val="none" w:sz="0" w:space="0" w:color="auto"/>
                        <w:left w:val="none" w:sz="0" w:space="0" w:color="auto"/>
                        <w:bottom w:val="none" w:sz="0" w:space="0" w:color="auto"/>
                        <w:right w:val="none" w:sz="0" w:space="0" w:color="auto"/>
                      </w:divBdr>
                      <w:divsChild>
                        <w:div w:id="59669493">
                          <w:marLeft w:val="0"/>
                          <w:marRight w:val="0"/>
                          <w:marTop w:val="0"/>
                          <w:marBottom w:val="0"/>
                          <w:divBdr>
                            <w:top w:val="none" w:sz="0" w:space="0" w:color="auto"/>
                            <w:left w:val="none" w:sz="0" w:space="0" w:color="auto"/>
                            <w:bottom w:val="none" w:sz="0" w:space="0" w:color="auto"/>
                            <w:right w:val="none" w:sz="0" w:space="0" w:color="auto"/>
                          </w:divBdr>
                          <w:divsChild>
                            <w:div w:id="128353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aulofrontin.pr.gov.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AA982-611C-4138-A0F9-1830CD549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2478</Words>
  <Characters>13384</Characters>
  <Application>Microsoft Office Word</Application>
  <DocSecurity>0</DocSecurity>
  <Lines>111</Lines>
  <Paragraphs>31</Paragraphs>
  <ScaleCrop>false</ScaleCrop>
  <HeadingPairs>
    <vt:vector size="6" baseType="variant">
      <vt:variant>
        <vt:lpstr>Título</vt:lpstr>
      </vt:variant>
      <vt:variant>
        <vt:i4>1</vt:i4>
      </vt:variant>
      <vt:variant>
        <vt:lpstr>Títulos</vt:lpstr>
      </vt:variant>
      <vt:variant>
        <vt:i4>2</vt:i4>
      </vt:variant>
      <vt:variant>
        <vt:lpstr>Title</vt:lpstr>
      </vt:variant>
      <vt:variant>
        <vt:i4>1</vt:i4>
      </vt:variant>
    </vt:vector>
  </HeadingPairs>
  <TitlesOfParts>
    <vt:vector size="4" baseType="lpstr">
      <vt:lpstr/>
      <vt:lpstr>        1. OBJETO</vt:lpstr>
      <vt:lpstr>        2. PREÇOS, ESPECIFICAÇÕES E QUANTITATIVOS</vt:lpstr>
      <vt:lpstr/>
    </vt:vector>
  </TitlesOfParts>
  <Manager/>
  <Company/>
  <LinksUpToDate>false</LinksUpToDate>
  <CharactersWithSpaces>15831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Conta da Microsoft</cp:lastModifiedBy>
  <cp:revision>8</cp:revision>
  <dcterms:created xsi:type="dcterms:W3CDTF">2013-12-23T23:15:00Z</dcterms:created>
  <dcterms:modified xsi:type="dcterms:W3CDTF">2025-01-27T16:48:00Z</dcterms:modified>
  <cp:category/>
</cp:coreProperties>
</file>